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5" w:rsidRDefault="00824C00" w:rsidP="004A0135">
      <w:pPr>
        <w:rPr>
          <w:b/>
          <w:color w:val="00AAE6"/>
        </w:rPr>
      </w:pPr>
      <w:r>
        <w:rPr>
          <w:b/>
          <w:noProof/>
          <w:color w:val="00AAE6"/>
        </w:rPr>
        <w:drawing>
          <wp:inline distT="0" distB="0" distL="0" distR="0" wp14:anchorId="42F65C33" wp14:editId="003BF323">
            <wp:extent cx="6729984" cy="2626157"/>
            <wp:effectExtent l="0" t="0" r="1397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50B" w:rsidRDefault="00E1250B" w:rsidP="00E93275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CB4C9D">
        <w:rPr>
          <w:rStyle w:val="EndnoteReference"/>
          <w:sz w:val="24"/>
          <w:szCs w:val="24"/>
        </w:rPr>
        <w:footnoteRef/>
      </w:r>
      <w:r w:rsidRPr="00CB4C9D">
        <w:rPr>
          <w:sz w:val="24"/>
          <w:szCs w:val="24"/>
        </w:rPr>
        <w:t xml:space="preserve">Total Number Served for </w:t>
      </w:r>
      <w:r w:rsidR="00414215">
        <w:rPr>
          <w:sz w:val="24"/>
          <w:szCs w:val="24"/>
        </w:rPr>
        <w:t>201</w:t>
      </w:r>
      <w:r w:rsidR="00E55C74">
        <w:rPr>
          <w:sz w:val="24"/>
          <w:szCs w:val="24"/>
        </w:rPr>
        <w:t>5</w:t>
      </w:r>
      <w:r w:rsidR="00052060">
        <w:rPr>
          <w:sz w:val="24"/>
          <w:szCs w:val="24"/>
        </w:rPr>
        <w:t xml:space="preserve"> </w:t>
      </w:r>
      <w:r w:rsidRPr="00CB4C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2060">
        <w:rPr>
          <w:sz w:val="24"/>
          <w:szCs w:val="24"/>
        </w:rPr>
        <w:t>25,863</w:t>
      </w:r>
    </w:p>
    <w:p w:rsidR="00E55C74" w:rsidRPr="00D7508E" w:rsidRDefault="00E55C74" w:rsidP="00E55C74">
      <w:pPr>
        <w:pStyle w:val="EndnoteText"/>
        <w:numPr>
          <w:ilvl w:val="0"/>
          <w:numId w:val="3"/>
        </w:numPr>
        <w:rPr>
          <w:i/>
          <w:sz w:val="24"/>
          <w:szCs w:val="24"/>
        </w:rPr>
      </w:pPr>
      <w:r w:rsidRPr="00F6414C">
        <w:rPr>
          <w:sz w:val="24"/>
          <w:szCs w:val="24"/>
        </w:rPr>
        <w:t>Totals per program</w:t>
      </w:r>
      <w:r w:rsidR="00AB217F">
        <w:rPr>
          <w:sz w:val="24"/>
          <w:szCs w:val="24"/>
        </w:rPr>
        <w:t xml:space="preserve">  </w:t>
      </w:r>
      <w:r w:rsidR="00A73FF1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AB217F" w:rsidRPr="00AB217F">
        <w:rPr>
          <w:b/>
          <w:sz w:val="24"/>
          <w:szCs w:val="24"/>
        </w:rPr>
        <w:t>Q1</w:t>
      </w:r>
      <w:r w:rsidRPr="00AB217F">
        <w:rPr>
          <w:b/>
          <w:sz w:val="24"/>
          <w:szCs w:val="24"/>
        </w:rPr>
        <w:t xml:space="preserve"> </w:t>
      </w:r>
      <w:r w:rsidR="00AB217F" w:rsidRPr="00AB217F"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</w:r>
      <w:r w:rsidR="00AB217F" w:rsidRPr="00AB217F">
        <w:rPr>
          <w:b/>
          <w:sz w:val="24"/>
          <w:szCs w:val="24"/>
        </w:rPr>
        <w:t>Q2</w:t>
      </w:r>
      <w:r w:rsidR="00380941">
        <w:rPr>
          <w:b/>
          <w:sz w:val="24"/>
          <w:szCs w:val="24"/>
        </w:rPr>
        <w:tab/>
        <w:t xml:space="preserve">       </w:t>
      </w:r>
      <w:r w:rsidR="00380941">
        <w:rPr>
          <w:b/>
          <w:sz w:val="24"/>
          <w:szCs w:val="24"/>
        </w:rPr>
        <w:tab/>
      </w:r>
      <w:r w:rsidR="00380941" w:rsidRPr="00D7508E">
        <w:rPr>
          <w:b/>
          <w:i/>
          <w:sz w:val="24"/>
          <w:szCs w:val="24"/>
        </w:rPr>
        <w:t>Q3</w:t>
      </w:r>
      <w:r w:rsidR="00E52FBC">
        <w:rPr>
          <w:b/>
          <w:i/>
          <w:sz w:val="24"/>
          <w:szCs w:val="24"/>
        </w:rPr>
        <w:tab/>
      </w:r>
      <w:r w:rsidR="00E52FBC">
        <w:rPr>
          <w:b/>
          <w:i/>
          <w:sz w:val="24"/>
          <w:szCs w:val="24"/>
        </w:rPr>
        <w:tab/>
        <w:t>Q4</w:t>
      </w:r>
      <w:r w:rsidR="00052060">
        <w:rPr>
          <w:b/>
          <w:i/>
          <w:sz w:val="24"/>
          <w:szCs w:val="24"/>
        </w:rPr>
        <w:tab/>
      </w:r>
    </w:p>
    <w:p w:rsidR="00E55C74" w:rsidRPr="00D7508E" w:rsidRDefault="00A73FF1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EAP –</w:t>
      </w:r>
      <w:r w:rsidRPr="00D7508E">
        <w:rPr>
          <w:i/>
          <w:sz w:val="16"/>
          <w:szCs w:val="16"/>
        </w:rPr>
        <w:t>(includes training)</w:t>
      </w:r>
      <w:r w:rsidRPr="00D7508E">
        <w:rPr>
          <w:i/>
          <w:sz w:val="24"/>
          <w:szCs w:val="24"/>
        </w:rPr>
        <w:tab/>
      </w:r>
      <w:r w:rsidR="00E55C74" w:rsidRPr="00D7508E">
        <w:rPr>
          <w:i/>
          <w:sz w:val="24"/>
          <w:szCs w:val="24"/>
        </w:rPr>
        <w:t>418</w:t>
      </w:r>
      <w:r w:rsidRPr="00D7508E">
        <w:rPr>
          <w:i/>
          <w:sz w:val="24"/>
          <w:szCs w:val="24"/>
        </w:rPr>
        <w:tab/>
      </w:r>
      <w:r w:rsidRPr="00D7508E">
        <w:rPr>
          <w:i/>
          <w:sz w:val="24"/>
          <w:szCs w:val="24"/>
        </w:rPr>
        <w:tab/>
      </w:r>
      <w:r w:rsidR="00F15094" w:rsidRPr="00D7508E">
        <w:rPr>
          <w:i/>
          <w:sz w:val="24"/>
          <w:szCs w:val="24"/>
        </w:rPr>
        <w:t>736</w:t>
      </w:r>
      <w:r w:rsidR="006E4AB4" w:rsidRPr="00D7508E">
        <w:rPr>
          <w:i/>
          <w:sz w:val="24"/>
          <w:szCs w:val="24"/>
        </w:rPr>
        <w:tab/>
      </w:r>
      <w:r w:rsidR="006E4AB4" w:rsidRPr="00D7508E">
        <w:rPr>
          <w:i/>
          <w:sz w:val="24"/>
          <w:szCs w:val="24"/>
        </w:rPr>
        <w:tab/>
        <w:t>3</w:t>
      </w:r>
      <w:r w:rsidR="00934803">
        <w:rPr>
          <w:i/>
          <w:sz w:val="24"/>
          <w:szCs w:val="24"/>
        </w:rPr>
        <w:t>71</w:t>
      </w:r>
      <w:r w:rsidR="00E52FBC">
        <w:rPr>
          <w:i/>
          <w:sz w:val="24"/>
          <w:szCs w:val="24"/>
        </w:rPr>
        <w:tab/>
      </w:r>
      <w:r w:rsidR="00E52FBC">
        <w:rPr>
          <w:i/>
          <w:sz w:val="24"/>
          <w:szCs w:val="24"/>
        </w:rPr>
        <w:tab/>
        <w:t>349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DDP –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79</w:t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55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65</w:t>
      </w:r>
      <w:r w:rsidR="00E52FBC">
        <w:rPr>
          <w:i/>
          <w:sz w:val="24"/>
          <w:szCs w:val="24"/>
        </w:rPr>
        <w:tab/>
      </w:r>
      <w:r w:rsidR="00E52FBC">
        <w:rPr>
          <w:i/>
          <w:sz w:val="24"/>
          <w:szCs w:val="24"/>
        </w:rPr>
        <w:tab/>
      </w:r>
      <w:r w:rsidR="00052060">
        <w:rPr>
          <w:i/>
          <w:sz w:val="24"/>
          <w:szCs w:val="24"/>
        </w:rPr>
        <w:t xml:space="preserve"> 44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 xml:space="preserve">Professional Training- </w:t>
      </w:r>
      <w:r w:rsidR="00F611FC" w:rsidRPr="00D7508E">
        <w:rPr>
          <w:i/>
          <w:sz w:val="24"/>
          <w:szCs w:val="24"/>
        </w:rPr>
        <w:t>262</w:t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15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158</w:t>
      </w:r>
      <w:r w:rsidR="00052060">
        <w:rPr>
          <w:i/>
          <w:sz w:val="24"/>
          <w:szCs w:val="24"/>
        </w:rPr>
        <w:tab/>
      </w:r>
      <w:r w:rsidR="00052060">
        <w:rPr>
          <w:i/>
          <w:sz w:val="24"/>
          <w:szCs w:val="24"/>
        </w:rPr>
        <w:tab/>
        <w:t>180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 xml:space="preserve">Compeer – 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419</w:t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422</w:t>
      </w:r>
      <w:r w:rsidR="00380941" w:rsidRPr="00D7508E">
        <w:rPr>
          <w:i/>
          <w:sz w:val="24"/>
          <w:szCs w:val="24"/>
        </w:rPr>
        <w:tab/>
      </w:r>
      <w:r w:rsidR="00380941" w:rsidRPr="00D7508E">
        <w:rPr>
          <w:i/>
          <w:sz w:val="24"/>
          <w:szCs w:val="24"/>
        </w:rPr>
        <w:tab/>
      </w:r>
      <w:r w:rsidR="001722E0" w:rsidRPr="00D7508E">
        <w:rPr>
          <w:i/>
          <w:sz w:val="24"/>
          <w:szCs w:val="24"/>
        </w:rPr>
        <w:t>430</w:t>
      </w:r>
      <w:r w:rsidR="00380941" w:rsidRPr="00D7508E">
        <w:rPr>
          <w:i/>
          <w:sz w:val="24"/>
          <w:szCs w:val="24"/>
        </w:rPr>
        <w:tab/>
      </w:r>
      <w:r w:rsidR="00052060">
        <w:rPr>
          <w:i/>
          <w:sz w:val="24"/>
          <w:szCs w:val="24"/>
        </w:rPr>
        <w:tab/>
        <w:t>430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OCPC-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2,038</w:t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10,498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3,447</w:t>
      </w:r>
      <w:r w:rsidR="00052060">
        <w:rPr>
          <w:i/>
          <w:sz w:val="24"/>
          <w:szCs w:val="24"/>
        </w:rPr>
        <w:tab/>
      </w:r>
      <w:r w:rsidR="00052060">
        <w:rPr>
          <w:i/>
          <w:sz w:val="24"/>
          <w:szCs w:val="24"/>
        </w:rPr>
        <w:tab/>
        <w:t>3,754</w:t>
      </w:r>
    </w:p>
    <w:p w:rsidR="00E55C74" w:rsidRPr="00E575B8" w:rsidRDefault="00E55C74" w:rsidP="00E55C74">
      <w:pPr>
        <w:pStyle w:val="EndnoteText"/>
        <w:numPr>
          <w:ilvl w:val="1"/>
          <w:numId w:val="3"/>
        </w:numPr>
        <w:rPr>
          <w:sz w:val="24"/>
          <w:szCs w:val="24"/>
        </w:rPr>
      </w:pPr>
      <w:r w:rsidRPr="00E575B8">
        <w:rPr>
          <w:sz w:val="24"/>
          <w:szCs w:val="24"/>
        </w:rPr>
        <w:t>Clinic Services-</w:t>
      </w:r>
      <w:r w:rsidR="00A73FF1">
        <w:rPr>
          <w:sz w:val="24"/>
          <w:szCs w:val="24"/>
        </w:rPr>
        <w:tab/>
      </w:r>
      <w:r w:rsidR="00557D4C">
        <w:rPr>
          <w:sz w:val="24"/>
          <w:szCs w:val="24"/>
        </w:rPr>
        <w:t>4</w:t>
      </w:r>
      <w:r w:rsidR="00F611FC">
        <w:rPr>
          <w:sz w:val="24"/>
          <w:szCs w:val="24"/>
        </w:rPr>
        <w:t>26</w:t>
      </w:r>
      <w:r w:rsidR="00F15094">
        <w:rPr>
          <w:sz w:val="24"/>
          <w:szCs w:val="24"/>
        </w:rPr>
        <w:tab/>
      </w:r>
      <w:r w:rsidR="00F15094">
        <w:rPr>
          <w:sz w:val="24"/>
          <w:szCs w:val="24"/>
        </w:rPr>
        <w:tab/>
        <w:t xml:space="preserve"> 439</w:t>
      </w:r>
      <w:r w:rsidR="00F15094">
        <w:rPr>
          <w:sz w:val="24"/>
          <w:szCs w:val="24"/>
        </w:rPr>
        <w:tab/>
      </w:r>
      <w:r w:rsidR="00380941">
        <w:rPr>
          <w:sz w:val="24"/>
          <w:szCs w:val="24"/>
        </w:rPr>
        <w:tab/>
        <w:t>3</w:t>
      </w:r>
      <w:r w:rsidR="006E4AB4">
        <w:rPr>
          <w:sz w:val="24"/>
          <w:szCs w:val="24"/>
        </w:rPr>
        <w:t>96</w:t>
      </w:r>
      <w:r w:rsidR="00052060">
        <w:rPr>
          <w:sz w:val="24"/>
          <w:szCs w:val="24"/>
        </w:rPr>
        <w:tab/>
      </w:r>
      <w:r w:rsidR="00052060">
        <w:rPr>
          <w:sz w:val="24"/>
          <w:szCs w:val="24"/>
        </w:rPr>
        <w:tab/>
        <w:t>432</w:t>
      </w:r>
    </w:p>
    <w:p w:rsidR="00ED1F5C" w:rsidRDefault="005D6B35" w:rsidP="00ED1F5C">
      <w:pPr>
        <w:pStyle w:val="EndnoteTex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>Totals</w:t>
      </w:r>
      <w:r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</w:r>
      <w:r w:rsidR="00A73FF1" w:rsidRPr="00052060">
        <w:rPr>
          <w:b/>
          <w:sz w:val="24"/>
          <w:szCs w:val="24"/>
        </w:rPr>
        <w:t>3,642</w:t>
      </w:r>
      <w:r w:rsidR="00A73FF1" w:rsidRPr="00052060">
        <w:rPr>
          <w:b/>
          <w:sz w:val="24"/>
          <w:szCs w:val="24"/>
        </w:rPr>
        <w:tab/>
      </w:r>
      <w:r w:rsidR="00A73FF1" w:rsidRPr="00052060">
        <w:rPr>
          <w:b/>
          <w:sz w:val="24"/>
          <w:szCs w:val="24"/>
        </w:rPr>
        <w:tab/>
        <w:t>12,165</w:t>
      </w:r>
      <w:r w:rsidR="00A73FF1"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  <w:t>4,8</w:t>
      </w:r>
      <w:r w:rsidR="00934803">
        <w:rPr>
          <w:b/>
          <w:sz w:val="24"/>
          <w:szCs w:val="24"/>
        </w:rPr>
        <w:t>67</w:t>
      </w:r>
      <w:r w:rsidR="00052060">
        <w:rPr>
          <w:b/>
          <w:sz w:val="24"/>
          <w:szCs w:val="24"/>
        </w:rPr>
        <w:tab/>
      </w:r>
      <w:r w:rsidR="00052060">
        <w:rPr>
          <w:b/>
          <w:sz w:val="24"/>
          <w:szCs w:val="24"/>
        </w:rPr>
        <w:tab/>
        <w:t>5,189</w:t>
      </w:r>
    </w:p>
    <w:p w:rsidR="00A73FF1" w:rsidRDefault="00A73FF1" w:rsidP="003A16CE">
      <w:pPr>
        <w:pStyle w:val="EndnoteText"/>
        <w:rPr>
          <w:b/>
          <w:sz w:val="24"/>
          <w:szCs w:val="24"/>
          <w:highlight w:val="yellow"/>
        </w:rPr>
      </w:pPr>
    </w:p>
    <w:p w:rsidR="00380941" w:rsidRDefault="00ED1F5C" w:rsidP="003A16CE">
      <w:pPr>
        <w:pStyle w:val="EndnoteText"/>
        <w:rPr>
          <w:sz w:val="24"/>
          <w:szCs w:val="24"/>
        </w:rPr>
      </w:pPr>
      <w:r w:rsidRPr="00E93275">
        <w:rPr>
          <w:b/>
          <w:sz w:val="24"/>
          <w:szCs w:val="24"/>
          <w:highlight w:val="yellow"/>
        </w:rPr>
        <w:t>201</w:t>
      </w:r>
      <w:r w:rsidR="00C73492">
        <w:rPr>
          <w:b/>
          <w:sz w:val="24"/>
          <w:szCs w:val="24"/>
          <w:highlight w:val="yellow"/>
        </w:rPr>
        <w:t>4</w:t>
      </w:r>
      <w:r w:rsidR="00E93275" w:rsidRPr="00E93275">
        <w:rPr>
          <w:b/>
          <w:sz w:val="24"/>
          <w:szCs w:val="24"/>
          <w:highlight w:val="yellow"/>
        </w:rPr>
        <w:t xml:space="preserve">– Reference </w:t>
      </w:r>
      <w:r w:rsidR="003A16CE">
        <w:rPr>
          <w:b/>
          <w:sz w:val="24"/>
          <w:szCs w:val="24"/>
        </w:rPr>
        <w:t xml:space="preserve">- </w:t>
      </w:r>
      <w:r w:rsidR="00052060">
        <w:rPr>
          <w:sz w:val="24"/>
          <w:szCs w:val="24"/>
        </w:rPr>
        <w:t xml:space="preserve">Total Number Served for 2014- </w:t>
      </w:r>
      <w:r w:rsidR="00052060">
        <w:rPr>
          <w:sz w:val="24"/>
          <w:szCs w:val="24"/>
        </w:rPr>
        <w:t>12,471</w:t>
      </w:r>
      <w:r w:rsidR="00052060">
        <w:rPr>
          <w:sz w:val="24"/>
          <w:szCs w:val="24"/>
        </w:rPr>
        <w:t>.</w:t>
      </w:r>
    </w:p>
    <w:p w:rsidR="00A73FF1" w:rsidRDefault="00A73FF1" w:rsidP="00A73FF1">
      <w:pPr>
        <w:spacing w:after="0" w:line="240" w:lineRule="auto"/>
        <w:rPr>
          <w:b/>
          <w:sz w:val="24"/>
          <w:szCs w:val="24"/>
        </w:rPr>
      </w:pPr>
    </w:p>
    <w:p w:rsidR="009E4AD4" w:rsidRDefault="002A4C5E" w:rsidP="00A73FF1">
      <w:pPr>
        <w:spacing w:after="0" w:line="240" w:lineRule="auto"/>
        <w:rPr>
          <w:b/>
          <w:color w:val="00AAE6"/>
        </w:rPr>
      </w:pPr>
      <w:r>
        <w:rPr>
          <w:b/>
          <w:sz w:val="24"/>
          <w:szCs w:val="24"/>
        </w:rPr>
        <w:t>201</w:t>
      </w:r>
      <w:r w:rsidR="00E55C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Media Outreach</w:t>
      </w:r>
      <w:r w:rsidRPr="00E735EB">
        <w:rPr>
          <w:b/>
          <w:sz w:val="24"/>
          <w:szCs w:val="24"/>
        </w:rPr>
        <w:t xml:space="preserve"> Report</w:t>
      </w:r>
      <w:r>
        <w:rPr>
          <w:b/>
          <w:noProof/>
          <w:color w:val="00AAE6"/>
        </w:rPr>
        <w:t xml:space="preserve"> </w:t>
      </w:r>
      <w:r w:rsidR="006F624A">
        <w:rPr>
          <w:b/>
          <w:noProof/>
          <w:color w:val="00AAE6"/>
        </w:rPr>
        <w:t xml:space="preserve">– </w:t>
      </w:r>
      <w:r w:rsidR="003B10BA">
        <w:rPr>
          <w:b/>
          <w:noProof/>
          <w:color w:val="00AAE6"/>
        </w:rPr>
        <w:t>62,352</w:t>
      </w:r>
      <w:r w:rsidR="006F624A">
        <w:rPr>
          <w:b/>
          <w:noProof/>
          <w:color w:val="00AAE6"/>
        </w:rPr>
        <w:t xml:space="preserve"> mentions </w:t>
      </w:r>
    </w:p>
    <w:p w:rsidR="00E55C74" w:rsidRDefault="00E55C74" w:rsidP="005B0253">
      <w:pPr>
        <w:pStyle w:val="EndnoteText"/>
        <w:rPr>
          <w:b/>
          <w:sz w:val="24"/>
          <w:szCs w:val="24"/>
        </w:rPr>
      </w:pPr>
      <w:r>
        <w:rPr>
          <w:b/>
          <w:noProof/>
          <w:color w:val="00AAE6"/>
        </w:rPr>
        <w:drawing>
          <wp:inline distT="0" distB="0" distL="0" distR="0" wp14:anchorId="25531025" wp14:editId="7E9F2F82">
            <wp:extent cx="6342279" cy="1755648"/>
            <wp:effectExtent l="0" t="0" r="20955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Broadcast – </w:t>
      </w:r>
      <w:r w:rsidR="00AE0A04">
        <w:rPr>
          <w:b/>
        </w:rPr>
        <w:t>347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Electronic – </w:t>
      </w:r>
      <w:r w:rsidR="00AE0A04">
        <w:rPr>
          <w:b/>
        </w:rPr>
        <w:t>5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Social Media – </w:t>
      </w:r>
      <w:r w:rsidR="00AE0A04">
        <w:rPr>
          <w:b/>
        </w:rPr>
        <w:t>19,666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Print – </w:t>
      </w:r>
      <w:r w:rsidR="00A023FC">
        <w:rPr>
          <w:b/>
        </w:rPr>
        <w:t>8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Website – </w:t>
      </w:r>
      <w:r w:rsidR="00A023FC">
        <w:rPr>
          <w:b/>
        </w:rPr>
        <w:t>8,945</w:t>
      </w:r>
    </w:p>
    <w:p w:rsidR="00F15094" w:rsidRDefault="00F15094" w:rsidP="00F15094">
      <w:pPr>
        <w:rPr>
          <w:b/>
          <w:color w:val="00AAE6"/>
        </w:rPr>
      </w:pPr>
      <w:r w:rsidRPr="00A73FF1">
        <w:rPr>
          <w:b/>
          <w:sz w:val="24"/>
          <w:szCs w:val="24"/>
          <w:highlight w:val="yellow"/>
        </w:rPr>
        <w:t xml:space="preserve">2014 </w:t>
      </w:r>
      <w:r w:rsidR="006F624A" w:rsidRPr="00A73FF1">
        <w:rPr>
          <w:b/>
          <w:sz w:val="24"/>
          <w:szCs w:val="24"/>
          <w:highlight w:val="yellow"/>
        </w:rPr>
        <w:t>Reference</w:t>
      </w:r>
      <w:r w:rsidR="006F624A">
        <w:rPr>
          <w:b/>
          <w:sz w:val="24"/>
          <w:szCs w:val="24"/>
        </w:rPr>
        <w:t xml:space="preserve"> – </w:t>
      </w:r>
      <w:r w:rsidR="003B10BA">
        <w:rPr>
          <w:b/>
          <w:sz w:val="24"/>
          <w:szCs w:val="24"/>
        </w:rPr>
        <w:t>334</w:t>
      </w:r>
      <w:bookmarkStart w:id="0" w:name="_GoBack"/>
      <w:bookmarkEnd w:id="0"/>
      <w:r w:rsidR="006F624A">
        <w:rPr>
          <w:b/>
          <w:sz w:val="24"/>
          <w:szCs w:val="24"/>
        </w:rPr>
        <w:t xml:space="preserve"> media mentions</w:t>
      </w:r>
      <w:r>
        <w:rPr>
          <w:b/>
          <w:noProof/>
          <w:color w:val="00AAE6"/>
        </w:rPr>
        <w:t xml:space="preserve"> </w:t>
      </w:r>
    </w:p>
    <w:sectPr w:rsidR="00F15094" w:rsidSect="00CB4C9D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80" w:rsidRDefault="00701080" w:rsidP="00B9250E">
      <w:pPr>
        <w:spacing w:after="0" w:line="240" w:lineRule="auto"/>
      </w:pPr>
      <w:r>
        <w:separator/>
      </w:r>
    </w:p>
  </w:endnote>
  <w:endnote w:type="continuationSeparator" w:id="0">
    <w:p w:rsidR="00701080" w:rsidRDefault="00701080" w:rsidP="00B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80" w:rsidRDefault="00701080" w:rsidP="00B9250E">
      <w:pPr>
        <w:spacing w:after="0" w:line="240" w:lineRule="auto"/>
      </w:pPr>
      <w:r>
        <w:separator/>
      </w:r>
    </w:p>
  </w:footnote>
  <w:footnote w:type="continuationSeparator" w:id="0">
    <w:p w:rsidR="00701080" w:rsidRDefault="00701080" w:rsidP="00B9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D3145D">
      <w:trPr>
        <w:trHeight w:val="288"/>
      </w:trPr>
      <w:tc>
        <w:tcPr>
          <w:tcW w:w="7765" w:type="dxa"/>
          <w:tcBorders>
            <w:bottom w:val="single" w:sz="18" w:space="0" w:color="808080" w:themeColor="background1" w:themeShade="80"/>
          </w:tcBorders>
        </w:tcPr>
        <w:p w:rsidR="00D3145D" w:rsidRDefault="00D3145D" w:rsidP="00052060">
          <w:pPr>
            <w:pStyle w:val="Header"/>
            <w:jc w:val="right"/>
            <w:rPr>
              <w:rFonts w:asciiTheme="majorHAnsi" w:eastAsiaTheme="majorEastAsia" w:hAnsiTheme="majorHAnsi"/>
              <w:sz w:val="36"/>
              <w:szCs w:val="36"/>
            </w:rPr>
          </w:pPr>
          <w:r w:rsidRPr="00D3145D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 CFLR </w:t>
          </w:r>
          <w:r w:rsidR="00052060">
            <w:rPr>
              <w:rFonts w:asciiTheme="majorHAnsi" w:eastAsiaTheme="majorEastAsia" w:hAnsiTheme="majorHAnsi"/>
              <w:b/>
              <w:sz w:val="36"/>
              <w:szCs w:val="36"/>
            </w:rPr>
            <w:t>Annual</w:t>
          </w:r>
          <w:r w:rsidR="00D45430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 </w:t>
          </w:r>
          <w:r w:rsidR="00FC7DFC">
            <w:rPr>
              <w:rFonts w:asciiTheme="majorHAnsi" w:eastAsiaTheme="majorEastAsia" w:hAnsiTheme="majorHAnsi"/>
              <w:b/>
              <w:sz w:val="36"/>
              <w:szCs w:val="36"/>
            </w:rPr>
            <w:t>Program Report</w:t>
          </w:r>
        </w:p>
      </w:tc>
      <w:tc>
        <w:tcPr>
          <w:tcW w:w="1105" w:type="dxa"/>
          <w:tcBorders>
            <w:bottom w:val="single" w:sz="18" w:space="0" w:color="808080" w:themeColor="background1" w:themeShade="80"/>
          </w:tcBorders>
        </w:tcPr>
        <w:p w:rsidR="00D3145D" w:rsidRPr="00D3145D" w:rsidRDefault="00A06952" w:rsidP="00E55C74">
          <w:pPr>
            <w:pStyle w:val="Header"/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  <w:t>201</w:t>
          </w:r>
          <w:r w:rsidR="00E55C74"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  <w:t>5</w:t>
          </w:r>
        </w:p>
      </w:tc>
    </w:tr>
  </w:tbl>
  <w:p w:rsidR="00D3145D" w:rsidRDefault="00D3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FE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6B5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6213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1C30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7398C"/>
    <w:multiLevelType w:val="hybridMultilevel"/>
    <w:tmpl w:val="5D86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39BD"/>
    <w:multiLevelType w:val="hybridMultilevel"/>
    <w:tmpl w:val="B0A4F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9446FC"/>
    <w:multiLevelType w:val="hybridMultilevel"/>
    <w:tmpl w:val="B0A4F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0C47EE"/>
    <w:multiLevelType w:val="hybridMultilevel"/>
    <w:tmpl w:val="5D86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4387DEA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02028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E5652"/>
    <w:multiLevelType w:val="hybridMultilevel"/>
    <w:tmpl w:val="B2E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7418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10A48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4413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E"/>
    <w:rsid w:val="00014955"/>
    <w:rsid w:val="000174EE"/>
    <w:rsid w:val="00052060"/>
    <w:rsid w:val="000A18B1"/>
    <w:rsid w:val="000A1BEF"/>
    <w:rsid w:val="000B50B2"/>
    <w:rsid w:val="000C4C32"/>
    <w:rsid w:val="000D3824"/>
    <w:rsid w:val="000E5760"/>
    <w:rsid w:val="000F0C61"/>
    <w:rsid w:val="000F4892"/>
    <w:rsid w:val="00100C11"/>
    <w:rsid w:val="00114C95"/>
    <w:rsid w:val="00122D50"/>
    <w:rsid w:val="00125881"/>
    <w:rsid w:val="00135A4A"/>
    <w:rsid w:val="00164497"/>
    <w:rsid w:val="00165E15"/>
    <w:rsid w:val="001722E0"/>
    <w:rsid w:val="00173209"/>
    <w:rsid w:val="00191AF8"/>
    <w:rsid w:val="001A5566"/>
    <w:rsid w:val="001D1114"/>
    <w:rsid w:val="001E601F"/>
    <w:rsid w:val="00222F66"/>
    <w:rsid w:val="002251F7"/>
    <w:rsid w:val="0027559C"/>
    <w:rsid w:val="00281F0B"/>
    <w:rsid w:val="00296F8C"/>
    <w:rsid w:val="002A4C5E"/>
    <w:rsid w:val="002B1968"/>
    <w:rsid w:val="002C1A8A"/>
    <w:rsid w:val="002E6B35"/>
    <w:rsid w:val="003023E6"/>
    <w:rsid w:val="0033201B"/>
    <w:rsid w:val="003372A9"/>
    <w:rsid w:val="00365957"/>
    <w:rsid w:val="00380941"/>
    <w:rsid w:val="00390D68"/>
    <w:rsid w:val="003A16CE"/>
    <w:rsid w:val="003B10BA"/>
    <w:rsid w:val="003E3478"/>
    <w:rsid w:val="003F444A"/>
    <w:rsid w:val="00414215"/>
    <w:rsid w:val="00433DDD"/>
    <w:rsid w:val="004860E7"/>
    <w:rsid w:val="00492787"/>
    <w:rsid w:val="004A0135"/>
    <w:rsid w:val="004A3EFF"/>
    <w:rsid w:val="004B0D6D"/>
    <w:rsid w:val="004D21D5"/>
    <w:rsid w:val="00516CB8"/>
    <w:rsid w:val="00527D48"/>
    <w:rsid w:val="00527E1D"/>
    <w:rsid w:val="00534019"/>
    <w:rsid w:val="005549C9"/>
    <w:rsid w:val="00557D4C"/>
    <w:rsid w:val="005B0253"/>
    <w:rsid w:val="005B3765"/>
    <w:rsid w:val="005D6B35"/>
    <w:rsid w:val="005E6C3A"/>
    <w:rsid w:val="005F5551"/>
    <w:rsid w:val="00620B94"/>
    <w:rsid w:val="006232A1"/>
    <w:rsid w:val="0066289A"/>
    <w:rsid w:val="006741B0"/>
    <w:rsid w:val="00697A0C"/>
    <w:rsid w:val="006A63F3"/>
    <w:rsid w:val="006B7987"/>
    <w:rsid w:val="006E41A3"/>
    <w:rsid w:val="006E4AB4"/>
    <w:rsid w:val="006F624A"/>
    <w:rsid w:val="00701080"/>
    <w:rsid w:val="007540D1"/>
    <w:rsid w:val="00772996"/>
    <w:rsid w:val="00773B37"/>
    <w:rsid w:val="007B2B10"/>
    <w:rsid w:val="007B6469"/>
    <w:rsid w:val="007E37C1"/>
    <w:rsid w:val="007F08E3"/>
    <w:rsid w:val="007F50D9"/>
    <w:rsid w:val="00804BEE"/>
    <w:rsid w:val="008109EC"/>
    <w:rsid w:val="00824C00"/>
    <w:rsid w:val="00825F1B"/>
    <w:rsid w:val="00864040"/>
    <w:rsid w:val="00881A52"/>
    <w:rsid w:val="008A34BF"/>
    <w:rsid w:val="008E28C4"/>
    <w:rsid w:val="008E7DE4"/>
    <w:rsid w:val="008F4203"/>
    <w:rsid w:val="00934803"/>
    <w:rsid w:val="00943D1B"/>
    <w:rsid w:val="00952A8C"/>
    <w:rsid w:val="00970625"/>
    <w:rsid w:val="00995B8B"/>
    <w:rsid w:val="009975E4"/>
    <w:rsid w:val="009C1077"/>
    <w:rsid w:val="009E4AD4"/>
    <w:rsid w:val="009F7F2A"/>
    <w:rsid w:val="00A023FC"/>
    <w:rsid w:val="00A0380F"/>
    <w:rsid w:val="00A06952"/>
    <w:rsid w:val="00A30857"/>
    <w:rsid w:val="00A456DD"/>
    <w:rsid w:val="00A457D0"/>
    <w:rsid w:val="00A73FF1"/>
    <w:rsid w:val="00AB217F"/>
    <w:rsid w:val="00AD506C"/>
    <w:rsid w:val="00AE0A04"/>
    <w:rsid w:val="00AF4C1F"/>
    <w:rsid w:val="00B053DF"/>
    <w:rsid w:val="00B16D77"/>
    <w:rsid w:val="00B3213F"/>
    <w:rsid w:val="00B36BA4"/>
    <w:rsid w:val="00B41889"/>
    <w:rsid w:val="00B51BFB"/>
    <w:rsid w:val="00B702BF"/>
    <w:rsid w:val="00B9250E"/>
    <w:rsid w:val="00B97B35"/>
    <w:rsid w:val="00BA0E2C"/>
    <w:rsid w:val="00BC7697"/>
    <w:rsid w:val="00BD6051"/>
    <w:rsid w:val="00BD73F0"/>
    <w:rsid w:val="00BD7C59"/>
    <w:rsid w:val="00C2425A"/>
    <w:rsid w:val="00C334B3"/>
    <w:rsid w:val="00C43BEA"/>
    <w:rsid w:val="00C537D4"/>
    <w:rsid w:val="00C56F53"/>
    <w:rsid w:val="00C73492"/>
    <w:rsid w:val="00C76011"/>
    <w:rsid w:val="00C812BD"/>
    <w:rsid w:val="00CB1DF6"/>
    <w:rsid w:val="00CB4C9D"/>
    <w:rsid w:val="00CF1853"/>
    <w:rsid w:val="00D069B2"/>
    <w:rsid w:val="00D16540"/>
    <w:rsid w:val="00D17D15"/>
    <w:rsid w:val="00D31273"/>
    <w:rsid w:val="00D3145D"/>
    <w:rsid w:val="00D377DD"/>
    <w:rsid w:val="00D45430"/>
    <w:rsid w:val="00D64D77"/>
    <w:rsid w:val="00D73F59"/>
    <w:rsid w:val="00D7508E"/>
    <w:rsid w:val="00D93FF2"/>
    <w:rsid w:val="00DB1E60"/>
    <w:rsid w:val="00DC0260"/>
    <w:rsid w:val="00DC1F44"/>
    <w:rsid w:val="00DF2966"/>
    <w:rsid w:val="00E1250B"/>
    <w:rsid w:val="00E1746E"/>
    <w:rsid w:val="00E23E14"/>
    <w:rsid w:val="00E35BAF"/>
    <w:rsid w:val="00E52FBC"/>
    <w:rsid w:val="00E541F3"/>
    <w:rsid w:val="00E55C74"/>
    <w:rsid w:val="00E735EB"/>
    <w:rsid w:val="00E8119C"/>
    <w:rsid w:val="00E93275"/>
    <w:rsid w:val="00ED1F5C"/>
    <w:rsid w:val="00ED2B81"/>
    <w:rsid w:val="00EE3446"/>
    <w:rsid w:val="00EE67F1"/>
    <w:rsid w:val="00EF42EF"/>
    <w:rsid w:val="00F12583"/>
    <w:rsid w:val="00F15094"/>
    <w:rsid w:val="00F529FD"/>
    <w:rsid w:val="00F57680"/>
    <w:rsid w:val="00F611FC"/>
    <w:rsid w:val="00F62E4D"/>
    <w:rsid w:val="00F97463"/>
    <w:rsid w:val="00FA0441"/>
    <w:rsid w:val="00FA481B"/>
    <w:rsid w:val="00FC7DFC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92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9250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5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B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BA4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1F3"/>
    <w:rPr>
      <w:color w:val="0000FF" w:themeColor="hyperlink"/>
      <w:u w:val="single"/>
    </w:rPr>
  </w:style>
  <w:style w:type="paragraph" w:customStyle="1" w:styleId="BlockQuotation">
    <w:name w:val="Block Quotation"/>
    <w:basedOn w:val="BodyText"/>
    <w:link w:val="BlockQuotationChar"/>
    <w:rsid w:val="00E93275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hAnsi="Garamond"/>
      <w:i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E93275"/>
    <w:rPr>
      <w:rFonts w:ascii="Garamond" w:hAnsi="Garamond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92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9250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5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B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BA4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1F3"/>
    <w:rPr>
      <w:color w:val="0000FF" w:themeColor="hyperlink"/>
      <w:u w:val="single"/>
    </w:rPr>
  </w:style>
  <w:style w:type="paragraph" w:customStyle="1" w:styleId="BlockQuotation">
    <w:name w:val="Block Quotation"/>
    <w:basedOn w:val="BodyText"/>
    <w:link w:val="BlockQuotationChar"/>
    <w:rsid w:val="00E93275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hAnsi="Garamond"/>
      <w:i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E93275"/>
    <w:rPr>
      <w:rFonts w:ascii="Garamond" w:hAnsi="Garamond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0266175967149E-2"/>
          <c:y val="8.1074750783117058E-2"/>
          <c:w val="0.86441947794931073"/>
          <c:h val="0.48576176241858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418</c:v>
                </c:pt>
                <c:pt idx="1">
                  <c:v>79</c:v>
                </c:pt>
                <c:pt idx="2">
                  <c:v>262</c:v>
                </c:pt>
                <c:pt idx="3" formatCode="#,##0">
                  <c:v>2038</c:v>
                </c:pt>
                <c:pt idx="4">
                  <c:v>419</c:v>
                </c:pt>
                <c:pt idx="5">
                  <c:v>426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736</c:v>
                </c:pt>
                <c:pt idx="1">
                  <c:v>55</c:v>
                </c:pt>
                <c:pt idx="2">
                  <c:v>15</c:v>
                </c:pt>
                <c:pt idx="3" formatCode="#,##0">
                  <c:v>10498</c:v>
                </c:pt>
                <c:pt idx="4">
                  <c:v>422</c:v>
                </c:pt>
                <c:pt idx="5">
                  <c:v>439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371</c:v>
                </c:pt>
                <c:pt idx="1">
                  <c:v>65</c:v>
                </c:pt>
                <c:pt idx="2">
                  <c:v>158</c:v>
                </c:pt>
                <c:pt idx="3">
                  <c:v>3447</c:v>
                </c:pt>
                <c:pt idx="4">
                  <c:v>422</c:v>
                </c:pt>
                <c:pt idx="5">
                  <c:v>396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 formatCode="#,##0">
                  <c:v>349</c:v>
                </c:pt>
                <c:pt idx="1">
                  <c:v>44</c:v>
                </c:pt>
                <c:pt idx="2">
                  <c:v>180</c:v>
                </c:pt>
                <c:pt idx="3" formatCode="#,##0">
                  <c:v>3754</c:v>
                </c:pt>
                <c:pt idx="4">
                  <c:v>430</c:v>
                </c:pt>
                <c:pt idx="5">
                  <c:v>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41920"/>
        <c:axId val="88293376"/>
        <c:axId val="0"/>
      </c:bar3DChart>
      <c:catAx>
        <c:axId val="11144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293376"/>
        <c:crosses val="autoZero"/>
        <c:auto val="1"/>
        <c:lblAlgn val="ctr"/>
        <c:lblOffset val="100"/>
        <c:noMultiLvlLbl val="0"/>
      </c:catAx>
      <c:valAx>
        <c:axId val="88293376"/>
        <c:scaling>
          <c:orientation val="minMax"/>
          <c:max val="10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low"/>
        <c:crossAx val="111441920"/>
        <c:crosses val="autoZero"/>
        <c:crossBetween val="between"/>
        <c:majorUnit val="1000"/>
        <c:minorUnit val="10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General">
                  <c:v>229</c:v>
                </c:pt>
                <c:pt idx="1">
                  <c:v>6537</c:v>
                </c:pt>
                <c:pt idx="2" formatCode="General">
                  <c:v>10</c:v>
                </c:pt>
                <c:pt idx="3" formatCode="General">
                  <c:v>19</c:v>
                </c:pt>
                <c:pt idx="4" formatCode="General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 formatCode="General">
                  <c:v>683</c:v>
                </c:pt>
                <c:pt idx="1">
                  <c:v>10233</c:v>
                </c:pt>
                <c:pt idx="2" formatCode="General">
                  <c:v>3</c:v>
                </c:pt>
                <c:pt idx="3" formatCode="General">
                  <c:v>5</c:v>
                </c:pt>
                <c:pt idx="4" formatCode="General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4862</c:v>
                </c:pt>
                <c:pt idx="1">
                  <c:v>10969</c:v>
                </c:pt>
                <c:pt idx="2" formatCode="General">
                  <c:v>60</c:v>
                </c:pt>
                <c:pt idx="3" formatCode="General">
                  <c:v>5</c:v>
                </c:pt>
                <c:pt idx="4" formatCode="General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19666</c:v>
                </c:pt>
                <c:pt idx="1">
                  <c:v>8671</c:v>
                </c:pt>
                <c:pt idx="2" formatCode="General">
                  <c:v>347</c:v>
                </c:pt>
                <c:pt idx="3" formatCode="General">
                  <c:v>8</c:v>
                </c:pt>
                <c:pt idx="4" formatCode="General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 formatCode="General">
                  <c:v>25440</c:v>
                </c:pt>
                <c:pt idx="1">
                  <c:v>36410</c:v>
                </c:pt>
                <c:pt idx="2" formatCode="General">
                  <c:v>420</c:v>
                </c:pt>
                <c:pt idx="3" formatCode="General">
                  <c:v>37</c:v>
                </c:pt>
                <c:pt idx="4" formatCode="General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792384"/>
        <c:axId val="88287488"/>
        <c:axId val="0"/>
      </c:bar3DChart>
      <c:catAx>
        <c:axId val="1477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88287488"/>
        <c:crosses val="autoZero"/>
        <c:auto val="1"/>
        <c:lblAlgn val="ctr"/>
        <c:lblOffset val="100"/>
        <c:noMultiLvlLbl val="0"/>
      </c:catAx>
      <c:valAx>
        <c:axId val="88287488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92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D5D-754A-4A16-8627-51CF32B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CFLR First Quarter People Served</vt:lpstr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CFLR First Quarter People Served</dc:title>
  <dc:creator>Cassandra Sheets</dc:creator>
  <cp:lastModifiedBy>Cassandra Sheets</cp:lastModifiedBy>
  <cp:revision>3</cp:revision>
  <cp:lastPrinted>2015-04-20T15:42:00Z</cp:lastPrinted>
  <dcterms:created xsi:type="dcterms:W3CDTF">2016-01-22T16:43:00Z</dcterms:created>
  <dcterms:modified xsi:type="dcterms:W3CDTF">2016-01-22T17:05:00Z</dcterms:modified>
</cp:coreProperties>
</file>